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94E37" w14:textId="2AA57C27" w:rsidR="00812399" w:rsidRPr="00B0186C" w:rsidRDefault="0090553C" w:rsidP="00871E27">
      <w:pPr>
        <w:jc w:val="right"/>
        <w:rPr>
          <w:szCs w:val="21"/>
        </w:rPr>
      </w:pPr>
      <w:bookmarkStart w:id="0" w:name="_GoBack"/>
      <w:bookmarkEnd w:id="0"/>
      <w:r w:rsidRPr="00B0186C">
        <w:rPr>
          <w:rFonts w:hint="eastAsia"/>
          <w:szCs w:val="21"/>
        </w:rPr>
        <w:t>令和</w:t>
      </w:r>
      <w:r w:rsidR="002C0CCD">
        <w:rPr>
          <w:rFonts w:hint="eastAsia"/>
          <w:szCs w:val="21"/>
        </w:rPr>
        <w:t>6</w:t>
      </w:r>
      <w:r w:rsidR="00123D56" w:rsidRPr="00B0186C">
        <w:rPr>
          <w:rFonts w:hint="eastAsia"/>
          <w:szCs w:val="21"/>
        </w:rPr>
        <w:t>年</w:t>
      </w:r>
      <w:r w:rsidR="002C0CCD">
        <w:rPr>
          <w:rFonts w:hint="eastAsia"/>
          <w:szCs w:val="21"/>
        </w:rPr>
        <w:t>7</w:t>
      </w:r>
      <w:r w:rsidR="00123D56" w:rsidRPr="00B0186C">
        <w:rPr>
          <w:rFonts w:hint="eastAsia"/>
          <w:szCs w:val="21"/>
        </w:rPr>
        <w:t>月</w:t>
      </w:r>
      <w:r w:rsidR="00C159D6">
        <w:rPr>
          <w:rFonts w:hint="eastAsia"/>
          <w:szCs w:val="21"/>
        </w:rPr>
        <w:t>17</w:t>
      </w:r>
      <w:r w:rsidR="00123D56" w:rsidRPr="00B0186C">
        <w:rPr>
          <w:rFonts w:hint="eastAsia"/>
          <w:szCs w:val="21"/>
        </w:rPr>
        <w:t>日</w:t>
      </w:r>
    </w:p>
    <w:p w14:paraId="38307629" w14:textId="77777777" w:rsidR="00123D56" w:rsidRPr="00B0186C" w:rsidRDefault="00123D56">
      <w:pPr>
        <w:rPr>
          <w:szCs w:val="21"/>
        </w:rPr>
      </w:pPr>
    </w:p>
    <w:p w14:paraId="3631C3EF" w14:textId="7A4E2284" w:rsidR="00123D56" w:rsidRPr="00C43C51" w:rsidRDefault="00D07D48" w:rsidP="00123D56">
      <w:pPr>
        <w:jc w:val="center"/>
        <w:rPr>
          <w:sz w:val="22"/>
        </w:rPr>
      </w:pPr>
      <w:r w:rsidRPr="00C43C51">
        <w:rPr>
          <w:rFonts w:hint="eastAsia"/>
          <w:sz w:val="22"/>
        </w:rPr>
        <w:t>兵庫県が発行する「</w:t>
      </w:r>
      <w:r w:rsidR="00C93F8C" w:rsidRPr="00C43C51">
        <w:rPr>
          <w:rFonts w:hint="eastAsia"/>
          <w:sz w:val="22"/>
        </w:rPr>
        <w:t>グリーンボンド</w:t>
      </w:r>
      <w:r w:rsidRPr="00C43C51">
        <w:rPr>
          <w:rFonts w:hint="eastAsia"/>
          <w:sz w:val="22"/>
        </w:rPr>
        <w:t>」</w:t>
      </w:r>
      <w:r w:rsidR="00123D56" w:rsidRPr="00C43C51">
        <w:rPr>
          <w:rFonts w:hint="eastAsia"/>
          <w:sz w:val="22"/>
        </w:rPr>
        <w:t>への投資について</w:t>
      </w:r>
    </w:p>
    <w:p w14:paraId="2E3674C7" w14:textId="77777777" w:rsidR="00123D56" w:rsidRPr="00B0186C" w:rsidRDefault="00123D56">
      <w:pPr>
        <w:rPr>
          <w:szCs w:val="21"/>
        </w:rPr>
      </w:pPr>
    </w:p>
    <w:p w14:paraId="7A2ABEAC" w14:textId="5C1956CF" w:rsidR="00043EEA" w:rsidRPr="00B0186C" w:rsidRDefault="00C159D6" w:rsidP="00871E2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太子町上下水道事業所</w:t>
      </w:r>
      <w:r w:rsidR="00C93F8C" w:rsidRPr="00B0186C">
        <w:rPr>
          <w:rFonts w:hint="eastAsia"/>
          <w:sz w:val="20"/>
          <w:szCs w:val="20"/>
        </w:rPr>
        <w:t>は、このたび、</w:t>
      </w:r>
      <w:r w:rsidR="00D07D48" w:rsidRPr="00B0186C">
        <w:rPr>
          <w:rFonts w:hint="eastAsia"/>
          <w:sz w:val="20"/>
          <w:szCs w:val="20"/>
        </w:rPr>
        <w:t>兵庫県</w:t>
      </w:r>
      <w:r w:rsidR="00C93F8C" w:rsidRPr="00B0186C">
        <w:rPr>
          <w:rFonts w:hint="eastAsia"/>
          <w:sz w:val="20"/>
          <w:szCs w:val="20"/>
        </w:rPr>
        <w:t>が発行するグリーンボンド</w:t>
      </w:r>
      <w:r w:rsidR="00871E27" w:rsidRPr="00B0186C">
        <w:rPr>
          <w:rFonts w:hint="eastAsia"/>
          <w:sz w:val="20"/>
          <w:szCs w:val="20"/>
        </w:rPr>
        <w:t>（</w:t>
      </w:r>
      <w:r w:rsidR="00647780" w:rsidRPr="00B0186C">
        <w:rPr>
          <w:rFonts w:hint="eastAsia"/>
          <w:sz w:val="20"/>
          <w:szCs w:val="20"/>
        </w:rPr>
        <w:t>以下「本債券」という）</w:t>
      </w:r>
      <w:r w:rsidR="00043EEA" w:rsidRPr="00B0186C">
        <w:rPr>
          <w:rFonts w:hint="eastAsia"/>
          <w:sz w:val="20"/>
          <w:szCs w:val="20"/>
        </w:rPr>
        <w:t>に投資したこと</w:t>
      </w:r>
      <w:r w:rsidR="00C93F8C" w:rsidRPr="00B0186C">
        <w:rPr>
          <w:rFonts w:hint="eastAsia"/>
          <w:sz w:val="20"/>
          <w:szCs w:val="20"/>
        </w:rPr>
        <w:t>をお知らせします。</w:t>
      </w:r>
    </w:p>
    <w:p w14:paraId="54E1B828" w14:textId="77777777" w:rsidR="00871E27" w:rsidRPr="00B0186C" w:rsidRDefault="00871E27" w:rsidP="00871E27">
      <w:pPr>
        <w:ind w:firstLineChars="100" w:firstLine="200"/>
        <w:rPr>
          <w:sz w:val="20"/>
          <w:szCs w:val="20"/>
        </w:rPr>
      </w:pPr>
    </w:p>
    <w:p w14:paraId="7262B11E" w14:textId="130A344E" w:rsidR="002E5E40" w:rsidRPr="00B0186C" w:rsidRDefault="00D07D48" w:rsidP="00871E27">
      <w:pPr>
        <w:ind w:firstLineChars="100" w:firstLine="200"/>
        <w:rPr>
          <w:sz w:val="20"/>
          <w:szCs w:val="20"/>
        </w:rPr>
      </w:pPr>
      <w:r w:rsidRPr="00B0186C">
        <w:rPr>
          <w:rFonts w:hint="eastAsia"/>
          <w:sz w:val="20"/>
          <w:szCs w:val="20"/>
        </w:rPr>
        <w:t>「</w:t>
      </w:r>
      <w:r w:rsidR="00043EEA" w:rsidRPr="00B0186C">
        <w:rPr>
          <w:rFonts w:hint="eastAsia"/>
          <w:sz w:val="20"/>
          <w:szCs w:val="20"/>
        </w:rPr>
        <w:t>グリーンボンド</w:t>
      </w:r>
      <w:r w:rsidRPr="00B0186C">
        <w:rPr>
          <w:rFonts w:hint="eastAsia"/>
          <w:sz w:val="20"/>
          <w:szCs w:val="20"/>
        </w:rPr>
        <w:t>」と</w:t>
      </w:r>
      <w:r w:rsidR="00043EEA" w:rsidRPr="00B0186C">
        <w:rPr>
          <w:rFonts w:hint="eastAsia"/>
          <w:sz w:val="20"/>
          <w:szCs w:val="20"/>
        </w:rPr>
        <w:t>は、</w:t>
      </w:r>
      <w:r w:rsidR="00375027" w:rsidRPr="00B0186C">
        <w:rPr>
          <w:rFonts w:hint="eastAsia"/>
          <w:sz w:val="20"/>
          <w:szCs w:val="20"/>
        </w:rPr>
        <w:t>環境改善効果を有する</w:t>
      </w:r>
      <w:r w:rsidRPr="00B0186C">
        <w:rPr>
          <w:rFonts w:hint="eastAsia"/>
          <w:sz w:val="20"/>
          <w:szCs w:val="20"/>
        </w:rPr>
        <w:t>プロジェクト</w:t>
      </w:r>
      <w:r w:rsidR="00043EEA" w:rsidRPr="00B0186C">
        <w:rPr>
          <w:rFonts w:hint="eastAsia"/>
          <w:sz w:val="20"/>
          <w:szCs w:val="20"/>
        </w:rPr>
        <w:t>に</w:t>
      </w:r>
      <w:r w:rsidRPr="00B0186C">
        <w:rPr>
          <w:rFonts w:hint="eastAsia"/>
          <w:sz w:val="20"/>
          <w:szCs w:val="20"/>
        </w:rPr>
        <w:t>充当先を</w:t>
      </w:r>
      <w:r w:rsidR="00850547" w:rsidRPr="00B0186C">
        <w:rPr>
          <w:rFonts w:hint="eastAsia"/>
          <w:sz w:val="20"/>
          <w:szCs w:val="20"/>
        </w:rPr>
        <w:t>限定し</w:t>
      </w:r>
      <w:r w:rsidRPr="00B0186C">
        <w:rPr>
          <w:rFonts w:hint="eastAsia"/>
          <w:sz w:val="20"/>
          <w:szCs w:val="20"/>
        </w:rPr>
        <w:t>た</w:t>
      </w:r>
      <w:r w:rsidR="00043EEA" w:rsidRPr="00B0186C">
        <w:rPr>
          <w:rFonts w:hint="eastAsia"/>
          <w:sz w:val="20"/>
          <w:szCs w:val="20"/>
        </w:rPr>
        <w:t>資金調達</w:t>
      </w:r>
      <w:r w:rsidRPr="00B0186C">
        <w:rPr>
          <w:rFonts w:hint="eastAsia"/>
          <w:sz w:val="20"/>
          <w:szCs w:val="20"/>
        </w:rPr>
        <w:t>の</w:t>
      </w:r>
      <w:r w:rsidR="00043EEA" w:rsidRPr="00B0186C">
        <w:rPr>
          <w:rFonts w:hint="eastAsia"/>
          <w:sz w:val="20"/>
          <w:szCs w:val="20"/>
        </w:rPr>
        <w:t>ために発行</w:t>
      </w:r>
      <w:r w:rsidRPr="00B0186C">
        <w:rPr>
          <w:rFonts w:hint="eastAsia"/>
          <w:sz w:val="20"/>
          <w:szCs w:val="20"/>
        </w:rPr>
        <w:t>される</w:t>
      </w:r>
      <w:r w:rsidR="00043EEA" w:rsidRPr="00B0186C">
        <w:rPr>
          <w:rFonts w:hint="eastAsia"/>
          <w:sz w:val="20"/>
          <w:szCs w:val="20"/>
        </w:rPr>
        <w:t>債券で</w:t>
      </w:r>
      <w:r w:rsidR="008A361B" w:rsidRPr="00B0186C">
        <w:rPr>
          <w:rFonts w:hint="eastAsia"/>
          <w:sz w:val="20"/>
          <w:szCs w:val="20"/>
        </w:rPr>
        <w:t>す</w:t>
      </w:r>
      <w:r w:rsidR="00043EEA" w:rsidRPr="00B0186C">
        <w:rPr>
          <w:rFonts w:hint="eastAsia"/>
          <w:sz w:val="20"/>
          <w:szCs w:val="20"/>
        </w:rPr>
        <w:t>。</w:t>
      </w:r>
      <w:r w:rsidRPr="00B0186C">
        <w:rPr>
          <w:rFonts w:hint="eastAsia"/>
          <w:sz w:val="20"/>
          <w:szCs w:val="20"/>
        </w:rPr>
        <w:t>本債券</w:t>
      </w:r>
      <w:r w:rsidR="00BE1A5A">
        <w:rPr>
          <w:rFonts w:hint="eastAsia"/>
          <w:sz w:val="20"/>
          <w:szCs w:val="20"/>
        </w:rPr>
        <w:t>のフレームワーク</w:t>
      </w:r>
      <w:r w:rsidRPr="00B0186C">
        <w:rPr>
          <w:rFonts w:hint="eastAsia"/>
          <w:sz w:val="20"/>
          <w:szCs w:val="20"/>
        </w:rPr>
        <w:t>は、</w:t>
      </w:r>
      <w:r w:rsidR="002E5E40" w:rsidRPr="00B0186C">
        <w:rPr>
          <w:rFonts w:hint="eastAsia"/>
          <w:sz w:val="20"/>
          <w:szCs w:val="20"/>
        </w:rPr>
        <w:t>国際資本市場協会（</w:t>
      </w:r>
      <w:r w:rsidR="002E5E40" w:rsidRPr="00B0186C">
        <w:rPr>
          <w:sz w:val="20"/>
          <w:szCs w:val="20"/>
        </w:rPr>
        <w:t>International Capital Market Association</w:t>
      </w:r>
      <w:r w:rsidR="002E5E40" w:rsidRPr="00B0186C">
        <w:rPr>
          <w:rFonts w:hint="eastAsia"/>
          <w:sz w:val="20"/>
          <w:szCs w:val="20"/>
        </w:rPr>
        <w:t>：</w:t>
      </w:r>
      <w:r w:rsidR="002E5E40" w:rsidRPr="00B0186C">
        <w:rPr>
          <w:sz w:val="20"/>
          <w:szCs w:val="20"/>
        </w:rPr>
        <w:t>ICMA</w:t>
      </w:r>
      <w:r w:rsidR="002E5E40" w:rsidRPr="00B0186C">
        <w:rPr>
          <w:rFonts w:hint="eastAsia"/>
          <w:sz w:val="20"/>
          <w:szCs w:val="20"/>
        </w:rPr>
        <w:t>）が定義する</w:t>
      </w:r>
      <w:r w:rsidR="008A361B" w:rsidRPr="00B0186C">
        <w:rPr>
          <w:rFonts w:hint="eastAsia"/>
          <w:sz w:val="20"/>
          <w:szCs w:val="20"/>
        </w:rPr>
        <w:t>「</w:t>
      </w:r>
      <w:r w:rsidRPr="00B0186C">
        <w:rPr>
          <w:rFonts w:hint="eastAsia"/>
          <w:sz w:val="20"/>
          <w:szCs w:val="20"/>
        </w:rPr>
        <w:t>グリーンボンド原則</w:t>
      </w:r>
      <w:r w:rsidRPr="00B0186C">
        <w:rPr>
          <w:sz w:val="20"/>
          <w:szCs w:val="20"/>
        </w:rPr>
        <w:t>2021</w:t>
      </w:r>
      <w:r w:rsidR="008A361B" w:rsidRPr="00B0186C">
        <w:rPr>
          <w:rFonts w:hint="eastAsia"/>
          <w:sz w:val="20"/>
          <w:szCs w:val="20"/>
        </w:rPr>
        <w:t>」</w:t>
      </w:r>
      <w:r w:rsidRPr="00B0186C">
        <w:rPr>
          <w:rFonts w:hint="eastAsia"/>
          <w:sz w:val="20"/>
          <w:szCs w:val="20"/>
        </w:rPr>
        <w:t>、</w:t>
      </w:r>
      <w:r w:rsidR="000F18E3">
        <w:rPr>
          <w:rFonts w:hint="eastAsia"/>
          <w:sz w:val="20"/>
          <w:szCs w:val="20"/>
        </w:rPr>
        <w:t>及び</w:t>
      </w:r>
      <w:r w:rsidR="008A361B" w:rsidRPr="00B0186C">
        <w:rPr>
          <w:rFonts w:hint="eastAsia"/>
          <w:sz w:val="20"/>
          <w:szCs w:val="20"/>
        </w:rPr>
        <w:t>「</w:t>
      </w:r>
      <w:r w:rsidRPr="00B0186C">
        <w:rPr>
          <w:rFonts w:hint="eastAsia"/>
          <w:sz w:val="20"/>
          <w:szCs w:val="20"/>
        </w:rPr>
        <w:t>環境省グリーンボンドガイドライン</w:t>
      </w:r>
      <w:r w:rsidRPr="00B0186C">
        <w:rPr>
          <w:sz w:val="20"/>
          <w:szCs w:val="20"/>
        </w:rPr>
        <w:t>2022</w:t>
      </w:r>
      <w:r w:rsidRPr="00B0186C">
        <w:rPr>
          <w:rFonts w:hint="eastAsia"/>
          <w:sz w:val="20"/>
          <w:szCs w:val="20"/>
        </w:rPr>
        <w:t>年版</w:t>
      </w:r>
      <w:r w:rsidR="008A361B" w:rsidRPr="00B0186C">
        <w:rPr>
          <w:rFonts w:hint="eastAsia"/>
          <w:sz w:val="20"/>
          <w:szCs w:val="20"/>
        </w:rPr>
        <w:t>」</w:t>
      </w:r>
      <w:r w:rsidR="00201A37" w:rsidRPr="00B0186C">
        <w:rPr>
          <w:rFonts w:hint="eastAsia"/>
          <w:sz w:val="20"/>
          <w:szCs w:val="20"/>
        </w:rPr>
        <w:t>への適合性について、株式会社日本格付研究所から検証を受けており、</w:t>
      </w:r>
      <w:r w:rsidR="00BC650B">
        <w:rPr>
          <w:rFonts w:hint="eastAsia"/>
          <w:sz w:val="20"/>
          <w:szCs w:val="20"/>
        </w:rPr>
        <w:t>最上位である「</w:t>
      </w:r>
      <w:r w:rsidR="00BC650B">
        <w:rPr>
          <w:rFonts w:hint="eastAsia"/>
          <w:sz w:val="20"/>
          <w:szCs w:val="20"/>
        </w:rPr>
        <w:t>G</w:t>
      </w:r>
      <w:r w:rsidR="00BC650B">
        <w:rPr>
          <w:sz w:val="20"/>
          <w:szCs w:val="20"/>
        </w:rPr>
        <w:t>reen1(F)</w:t>
      </w:r>
      <w:r w:rsidR="00BC650B">
        <w:rPr>
          <w:rFonts w:hint="eastAsia"/>
          <w:sz w:val="20"/>
          <w:szCs w:val="20"/>
        </w:rPr>
        <w:t>」</w:t>
      </w:r>
      <w:r w:rsidR="00EF1511">
        <w:rPr>
          <w:rFonts w:hint="eastAsia"/>
          <w:sz w:val="20"/>
          <w:szCs w:val="20"/>
        </w:rPr>
        <w:t>の評価</w:t>
      </w:r>
      <w:r w:rsidR="00201A37" w:rsidRPr="00B0186C">
        <w:rPr>
          <w:rFonts w:hint="eastAsia"/>
          <w:sz w:val="20"/>
          <w:szCs w:val="20"/>
        </w:rPr>
        <w:t>を取得しております。</w:t>
      </w:r>
    </w:p>
    <w:p w14:paraId="4F31BCE4" w14:textId="77777777" w:rsidR="00123D56" w:rsidRPr="00B0186C" w:rsidRDefault="00123D56" w:rsidP="00043EEA">
      <w:pPr>
        <w:ind w:left="200" w:hangingChars="100" w:hanging="200"/>
        <w:rPr>
          <w:sz w:val="20"/>
          <w:szCs w:val="20"/>
        </w:rPr>
      </w:pPr>
    </w:p>
    <w:p w14:paraId="42284D5F" w14:textId="1B09B51E" w:rsidR="00D2014D" w:rsidRPr="00B0186C" w:rsidRDefault="00871E27" w:rsidP="00277254">
      <w:pPr>
        <w:ind w:firstLineChars="100" w:firstLine="200"/>
        <w:rPr>
          <w:sz w:val="20"/>
          <w:szCs w:val="20"/>
        </w:rPr>
      </w:pPr>
      <w:r w:rsidRPr="00B0186C">
        <w:rPr>
          <w:rFonts w:hint="eastAsia"/>
          <w:sz w:val="20"/>
          <w:szCs w:val="20"/>
        </w:rPr>
        <w:t>本債券</w:t>
      </w:r>
      <w:r w:rsidR="00201A37" w:rsidRPr="00B0186C">
        <w:rPr>
          <w:rFonts w:hint="eastAsia"/>
          <w:sz w:val="20"/>
          <w:szCs w:val="20"/>
        </w:rPr>
        <w:t>の</w:t>
      </w:r>
      <w:r w:rsidR="00520D0A" w:rsidRPr="00B0186C">
        <w:rPr>
          <w:rFonts w:hint="eastAsia"/>
          <w:sz w:val="20"/>
          <w:szCs w:val="20"/>
        </w:rPr>
        <w:t>発行による調達資金は、</w:t>
      </w:r>
      <w:r w:rsidR="00375027" w:rsidRPr="00B0186C">
        <w:rPr>
          <w:rFonts w:hint="eastAsia"/>
          <w:sz w:val="20"/>
          <w:szCs w:val="20"/>
        </w:rPr>
        <w:t>兵庫県が取り組む地域の個性を活かした</w:t>
      </w:r>
      <w:r w:rsidR="00375027" w:rsidRPr="00B0186C">
        <w:rPr>
          <w:sz w:val="20"/>
          <w:szCs w:val="20"/>
        </w:rPr>
        <w:t>SDGs*</w:t>
      </w:r>
      <w:r w:rsidR="00375027" w:rsidRPr="00B0186C">
        <w:rPr>
          <w:rFonts w:hint="eastAsia"/>
          <w:sz w:val="20"/>
          <w:szCs w:val="20"/>
        </w:rPr>
        <w:t>の達成に</w:t>
      </w:r>
      <w:r w:rsidR="00C43C51" w:rsidRPr="00B0186C">
        <w:rPr>
          <w:rFonts w:hint="eastAsia"/>
          <w:sz w:val="20"/>
          <w:szCs w:val="20"/>
        </w:rPr>
        <w:t>資する下表のグリーン化事業に充当されます。</w:t>
      </w:r>
    </w:p>
    <w:tbl>
      <w:tblPr>
        <w:tblStyle w:val="af2"/>
        <w:tblW w:w="9072" w:type="dxa"/>
        <w:tblInd w:w="-5" w:type="dxa"/>
        <w:tblLook w:val="04A0" w:firstRow="1" w:lastRow="0" w:firstColumn="1" w:lastColumn="0" w:noHBand="0" w:noVBand="1"/>
      </w:tblPr>
      <w:tblGrid>
        <w:gridCol w:w="3247"/>
        <w:gridCol w:w="5825"/>
      </w:tblGrid>
      <w:tr w:rsidR="00C43C51" w14:paraId="4435210E" w14:textId="77777777" w:rsidTr="00B0186C">
        <w:trPr>
          <w:trHeight w:val="324"/>
        </w:trPr>
        <w:tc>
          <w:tcPr>
            <w:tcW w:w="3247" w:type="dxa"/>
            <w:shd w:val="clear" w:color="auto" w:fill="EAF1DD" w:themeFill="accent3" w:themeFillTint="33"/>
            <w:vAlign w:val="center"/>
          </w:tcPr>
          <w:p w14:paraId="26ECA87D" w14:textId="1F92EED1" w:rsidR="00C43C51" w:rsidRPr="00B0186C" w:rsidRDefault="00C43C51" w:rsidP="00153918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B0186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分類</w:t>
            </w:r>
          </w:p>
        </w:tc>
        <w:tc>
          <w:tcPr>
            <w:tcW w:w="5825" w:type="dxa"/>
            <w:shd w:val="clear" w:color="auto" w:fill="EAF1DD" w:themeFill="accent3" w:themeFillTint="33"/>
            <w:vAlign w:val="center"/>
          </w:tcPr>
          <w:p w14:paraId="6008947B" w14:textId="6567A96C" w:rsidR="00C43C51" w:rsidRPr="00B0186C" w:rsidRDefault="00C43C51" w:rsidP="00153918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B0186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事業内容</w:t>
            </w:r>
          </w:p>
        </w:tc>
      </w:tr>
      <w:tr w:rsidR="00C43C51" w14:paraId="2393F534" w14:textId="77777777" w:rsidTr="00B0186C">
        <w:trPr>
          <w:trHeight w:val="711"/>
        </w:trPr>
        <w:tc>
          <w:tcPr>
            <w:tcW w:w="3247" w:type="dxa"/>
            <w:shd w:val="clear" w:color="auto" w:fill="auto"/>
            <w:vAlign w:val="center"/>
          </w:tcPr>
          <w:p w14:paraId="5ADC2540" w14:textId="77777777" w:rsidR="00C43C51" w:rsidRPr="00B0186C" w:rsidRDefault="00FE458D" w:rsidP="00B0186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B0186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汚染防止及び抑制</w:t>
            </w:r>
          </w:p>
          <w:p w14:paraId="0B11A621" w14:textId="36D5F5CC" w:rsidR="00FE458D" w:rsidRPr="00B0186C" w:rsidRDefault="00FE458D" w:rsidP="00B0186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B0186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再生可能エネルギー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3F1F01C7" w14:textId="18FEF141" w:rsidR="00C43C51" w:rsidRPr="00B0186C" w:rsidRDefault="00FE458D" w:rsidP="00153918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下水汚泥広域処理場整備事業（下水汚泥を利用したバイオガスの生成・固形燃料化）</w:t>
            </w:r>
          </w:p>
        </w:tc>
      </w:tr>
      <w:tr w:rsidR="00C43C51" w14:paraId="3DFF8940" w14:textId="77777777" w:rsidTr="00B0186C">
        <w:trPr>
          <w:trHeight w:val="711"/>
        </w:trPr>
        <w:tc>
          <w:tcPr>
            <w:tcW w:w="3247" w:type="dxa"/>
            <w:shd w:val="clear" w:color="auto" w:fill="auto"/>
            <w:vAlign w:val="center"/>
          </w:tcPr>
          <w:p w14:paraId="7F75391D" w14:textId="77777777" w:rsidR="00C43C51" w:rsidRDefault="00FE458D" w:rsidP="00153918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エネルギー効率</w:t>
            </w:r>
          </w:p>
          <w:p w14:paraId="7501CBA6" w14:textId="0E9FD2B6" w:rsidR="00FE458D" w:rsidRPr="00B0186C" w:rsidRDefault="00FE458D" w:rsidP="00153918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再生可能エネルギー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60EEA367" w14:textId="249905FA" w:rsidR="00C43C51" w:rsidRPr="00B0186C" w:rsidRDefault="00FE458D" w:rsidP="00153918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県有施設の設備更新（照明のLED化、空調設備の更新、太陽光発電設備の導入）</w:t>
            </w:r>
          </w:p>
        </w:tc>
      </w:tr>
      <w:tr w:rsidR="00C43C51" w14:paraId="3E00584E" w14:textId="77777777" w:rsidTr="00B0186C">
        <w:trPr>
          <w:trHeight w:val="948"/>
        </w:trPr>
        <w:tc>
          <w:tcPr>
            <w:tcW w:w="3247" w:type="dxa"/>
            <w:shd w:val="clear" w:color="auto" w:fill="auto"/>
            <w:vAlign w:val="center"/>
          </w:tcPr>
          <w:p w14:paraId="0F412622" w14:textId="55D251CB" w:rsidR="00C43C51" w:rsidRPr="00B0186C" w:rsidRDefault="00FE458D" w:rsidP="00153918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気候変動への適応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51609D93" w14:textId="67B4F0E0" w:rsidR="00C43C51" w:rsidRPr="00B0186C" w:rsidRDefault="00FE458D" w:rsidP="00153918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治水対策の推進を目的とした河川改修</w:t>
            </w:r>
          </w:p>
          <w:p w14:paraId="0289E53A" w14:textId="3618D864" w:rsidR="00C43C51" w:rsidRDefault="00FE458D" w:rsidP="00153918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土砂災害対策のための治山・砂防対策等</w:t>
            </w:r>
          </w:p>
          <w:p w14:paraId="72325296" w14:textId="272C4C57" w:rsidR="00BC650B" w:rsidRPr="00B0186C" w:rsidRDefault="00BC650B" w:rsidP="00153918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豪雨災害時に備えた法面防災対策</w:t>
            </w:r>
          </w:p>
          <w:p w14:paraId="1F552057" w14:textId="77777777" w:rsidR="0057542C" w:rsidRDefault="00FE458D" w:rsidP="0057542C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豪雨時の防災・減災対策を目的としたため池</w:t>
            </w:r>
            <w:r w:rsidR="0057542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防災対策</w:t>
            </w:r>
          </w:p>
          <w:p w14:paraId="43E186E2" w14:textId="229F9106" w:rsidR="00C43C51" w:rsidRPr="00B0186C" w:rsidRDefault="0057542C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高潮対策のための防潮堤の嵩上げや胸壁整備</w:t>
            </w:r>
          </w:p>
        </w:tc>
      </w:tr>
      <w:tr w:rsidR="00C43C51" w14:paraId="7FF2624A" w14:textId="77777777" w:rsidTr="00B0186C">
        <w:trPr>
          <w:trHeight w:val="711"/>
        </w:trPr>
        <w:tc>
          <w:tcPr>
            <w:tcW w:w="3247" w:type="dxa"/>
            <w:shd w:val="clear" w:color="auto" w:fill="auto"/>
            <w:vAlign w:val="center"/>
          </w:tcPr>
          <w:p w14:paraId="2E4877C3" w14:textId="63CC5341" w:rsidR="00C43C51" w:rsidRPr="00B0186C" w:rsidRDefault="00FE458D" w:rsidP="00153918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生物自然資源及び土地利用に係る環境持続型管理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012439FF" w14:textId="77777777" w:rsidR="00C43C51" w:rsidRDefault="0057542C" w:rsidP="0057542C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土砂災害防止や温室効果ガスの吸収に資する森林整備</w:t>
            </w:r>
          </w:p>
          <w:p w14:paraId="55357C67" w14:textId="323DAB01" w:rsidR="0057542C" w:rsidRPr="00B0186C" w:rsidRDefault="0057542C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森林整備に必要な林道整備</w:t>
            </w:r>
          </w:p>
        </w:tc>
      </w:tr>
      <w:tr w:rsidR="00C43C51" w14:paraId="43C8F92C" w14:textId="77777777" w:rsidTr="00B0186C">
        <w:trPr>
          <w:trHeight w:val="73"/>
        </w:trPr>
        <w:tc>
          <w:tcPr>
            <w:tcW w:w="3247" w:type="dxa"/>
            <w:shd w:val="clear" w:color="auto" w:fill="auto"/>
            <w:vAlign w:val="center"/>
          </w:tcPr>
          <w:p w14:paraId="10B1C026" w14:textId="6FAFD9AB" w:rsidR="00C43C51" w:rsidRPr="00B0186C" w:rsidRDefault="00FE458D" w:rsidP="00153918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陸上及び水生生物の</w:t>
            </w:r>
            <w:r w:rsidR="00512663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多様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性の保全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0E2530AC" w14:textId="17B59EE5" w:rsidR="00C43C51" w:rsidRPr="00B0186C" w:rsidRDefault="0057542C" w:rsidP="00153918">
            <w:pPr>
              <w:pStyle w:val="ac"/>
              <w:widowControl w:val="0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コウノトリの生息環境整備（ため</w:t>
            </w:r>
            <w:r w:rsidR="00B11A08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池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の浅瀬やビオトープの造成）</w:t>
            </w:r>
          </w:p>
        </w:tc>
      </w:tr>
    </w:tbl>
    <w:p w14:paraId="2CCFDDEC" w14:textId="77777777" w:rsidR="00B0186C" w:rsidRDefault="00B0186C" w:rsidP="00277254">
      <w:pPr>
        <w:ind w:firstLineChars="100" w:firstLine="200"/>
        <w:rPr>
          <w:sz w:val="20"/>
          <w:szCs w:val="20"/>
        </w:rPr>
      </w:pPr>
    </w:p>
    <w:p w14:paraId="1D84EEF3" w14:textId="330DA06A" w:rsidR="001C5FDE" w:rsidRPr="00B0186C" w:rsidRDefault="00ED0190" w:rsidP="00277254">
      <w:pPr>
        <w:ind w:firstLineChars="100" w:firstLine="200"/>
        <w:rPr>
          <w:sz w:val="20"/>
          <w:szCs w:val="20"/>
        </w:rPr>
      </w:pPr>
      <w:r w:rsidRPr="00B0186C">
        <w:rPr>
          <w:rFonts w:hint="eastAsia"/>
          <w:sz w:val="20"/>
          <w:szCs w:val="20"/>
        </w:rPr>
        <w:t>当社は、</w:t>
      </w:r>
      <w:r w:rsidR="00846B0A" w:rsidRPr="00B0186C">
        <w:rPr>
          <w:rFonts w:hint="eastAsia"/>
          <w:sz w:val="20"/>
          <w:szCs w:val="20"/>
        </w:rPr>
        <w:t>本債券をはじめとした</w:t>
      </w:r>
      <w:r w:rsidR="00846B0A" w:rsidRPr="00B0186C">
        <w:rPr>
          <w:sz w:val="20"/>
          <w:szCs w:val="20"/>
        </w:rPr>
        <w:t>SDGs</w:t>
      </w:r>
      <w:r w:rsidR="00846B0A" w:rsidRPr="00B0186C">
        <w:rPr>
          <w:rFonts w:hint="eastAsia"/>
          <w:sz w:val="20"/>
          <w:szCs w:val="20"/>
        </w:rPr>
        <w:t>債への</w:t>
      </w:r>
      <w:r w:rsidR="00C43C51" w:rsidRPr="00B0186C">
        <w:rPr>
          <w:rFonts w:hint="eastAsia"/>
          <w:sz w:val="20"/>
          <w:szCs w:val="20"/>
        </w:rPr>
        <w:t>継続的な</w:t>
      </w:r>
      <w:r w:rsidR="00C43C51" w:rsidRPr="00B0186C">
        <w:rPr>
          <w:sz w:val="20"/>
          <w:szCs w:val="20"/>
        </w:rPr>
        <w:t>ESG</w:t>
      </w:r>
      <w:r w:rsidR="004173CF" w:rsidRPr="00B0186C">
        <w:rPr>
          <w:rFonts w:hint="eastAsia"/>
          <w:sz w:val="20"/>
          <w:szCs w:val="20"/>
        </w:rPr>
        <w:t>投資を通じて、</w:t>
      </w:r>
      <w:r w:rsidR="00C43C51" w:rsidRPr="00B0186C">
        <w:rPr>
          <w:rFonts w:hint="eastAsia"/>
          <w:sz w:val="20"/>
          <w:szCs w:val="20"/>
        </w:rPr>
        <w:t>今後も社会的責任を果たして参ります。</w:t>
      </w:r>
    </w:p>
    <w:p w14:paraId="095BFE4C" w14:textId="77777777" w:rsidR="007F7177" w:rsidRPr="00953440" w:rsidRDefault="007F7177" w:rsidP="007F7177">
      <w:pPr>
        <w:jc w:val="left"/>
        <w:rPr>
          <w:rFonts w:ascii="Arial" w:eastAsia="ＭＳ Ｐゴシック" w:hAnsi="Arial" w:cs="Arial"/>
          <w:sz w:val="20"/>
        </w:rPr>
      </w:pPr>
      <w:r w:rsidRPr="00953440">
        <w:rPr>
          <w:rFonts w:ascii="Arial" w:eastAsia="ＭＳ Ｐゴシック" w:hAnsi="Arial" w:cs="Arial"/>
          <w:sz w:val="20"/>
        </w:rPr>
        <w:t>&lt;</w:t>
      </w:r>
      <w:r w:rsidRPr="00953440">
        <w:rPr>
          <w:rFonts w:ascii="Arial" w:eastAsia="ＭＳ Ｐゴシック" w:hAnsi="Arial" w:cs="Arial"/>
          <w:sz w:val="20"/>
        </w:rPr>
        <w:t>本債券の概要</w:t>
      </w:r>
      <w:r w:rsidRPr="00953440">
        <w:rPr>
          <w:rFonts w:ascii="Arial" w:eastAsia="ＭＳ Ｐゴシック" w:hAnsi="Arial" w:cs="Arial"/>
          <w:sz w:val="20"/>
        </w:rPr>
        <w:t>&gt;</w:t>
      </w:r>
    </w:p>
    <w:tbl>
      <w:tblPr>
        <w:tblStyle w:val="af2"/>
        <w:tblW w:w="8959" w:type="dxa"/>
        <w:tblInd w:w="108" w:type="dxa"/>
        <w:tblLook w:val="04A0" w:firstRow="1" w:lastRow="0" w:firstColumn="1" w:lastColumn="0" w:noHBand="0" w:noVBand="1"/>
      </w:tblPr>
      <w:tblGrid>
        <w:gridCol w:w="1588"/>
        <w:gridCol w:w="7371"/>
      </w:tblGrid>
      <w:tr w:rsidR="007F7177" w:rsidRPr="00953440" w14:paraId="7AEC544B" w14:textId="77777777" w:rsidTr="00B0186C">
        <w:trPr>
          <w:trHeight w:val="340"/>
        </w:trPr>
        <w:tc>
          <w:tcPr>
            <w:tcW w:w="1588" w:type="dxa"/>
            <w:shd w:val="clear" w:color="auto" w:fill="EAF1DD" w:themeFill="accent3" w:themeFillTint="33"/>
          </w:tcPr>
          <w:p w14:paraId="29376CBF" w14:textId="77777777" w:rsidR="007F7177" w:rsidRPr="00953440" w:rsidRDefault="007F7177" w:rsidP="00FC4F51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0186C">
              <w:rPr>
                <w:rFonts w:ascii="Arial" w:eastAsia="ＭＳ Ｐゴシック" w:hAnsi="Arial" w:cs="Arial" w:hint="eastAsia"/>
                <w:spacing w:val="115"/>
                <w:kern w:val="0"/>
                <w:sz w:val="20"/>
                <w:fitText w:val="630" w:id="-1489164032"/>
              </w:rPr>
              <w:t>銘</w:t>
            </w:r>
            <w:r w:rsidRPr="00B0186C">
              <w:rPr>
                <w:rFonts w:ascii="Arial" w:eastAsia="ＭＳ Ｐゴシック" w:hAnsi="Arial" w:cs="Arial" w:hint="eastAsia"/>
                <w:kern w:val="0"/>
                <w:sz w:val="20"/>
                <w:fitText w:val="630" w:id="-1489164032"/>
              </w:rPr>
              <w:t>柄</w:t>
            </w:r>
          </w:p>
        </w:tc>
        <w:tc>
          <w:tcPr>
            <w:tcW w:w="7371" w:type="dxa"/>
          </w:tcPr>
          <w:p w14:paraId="693061EE" w14:textId="09AE1693" w:rsidR="007F7177" w:rsidRDefault="0057542C" w:rsidP="00FC4F51">
            <w:pPr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兵庫県</w:t>
            </w:r>
            <w:r w:rsidR="002374DF">
              <w:rPr>
                <w:rFonts w:ascii="Arial" w:eastAsia="ＭＳ Ｐゴシック" w:hAnsi="Arial" w:cs="Arial" w:hint="eastAsia"/>
                <w:sz w:val="20"/>
              </w:rPr>
              <w:t>令和</w:t>
            </w:r>
            <w:r w:rsidR="002C0CCD">
              <w:rPr>
                <w:rFonts w:ascii="Arial" w:eastAsia="ＭＳ Ｐゴシック" w:hAnsi="Arial" w:cs="Arial" w:hint="eastAsia"/>
                <w:sz w:val="20"/>
              </w:rPr>
              <w:t>6</w:t>
            </w:r>
            <w:r w:rsidR="002374DF">
              <w:rPr>
                <w:rFonts w:ascii="Arial" w:eastAsia="ＭＳ Ｐゴシック" w:hAnsi="Arial" w:cs="Arial" w:hint="eastAsia"/>
                <w:sz w:val="20"/>
              </w:rPr>
              <w:t>年度第</w:t>
            </w:r>
            <w:r w:rsidR="00C159D6">
              <w:rPr>
                <w:rFonts w:ascii="Arial" w:eastAsia="ＭＳ Ｐゴシック" w:hAnsi="Arial" w:cs="Arial" w:hint="eastAsia"/>
                <w:sz w:val="20"/>
              </w:rPr>
              <w:t>3</w:t>
            </w:r>
            <w:r w:rsidR="002374DF">
              <w:rPr>
                <w:rFonts w:ascii="Arial" w:eastAsia="ＭＳ Ｐゴシック" w:hAnsi="Arial" w:cs="Arial" w:hint="eastAsia"/>
                <w:sz w:val="20"/>
              </w:rPr>
              <w:t>回公募公債</w:t>
            </w:r>
            <w:r>
              <w:rPr>
                <w:rFonts w:ascii="Arial" w:eastAsia="ＭＳ Ｐゴシック" w:hAnsi="Arial" w:cs="Arial" w:hint="eastAsia"/>
                <w:sz w:val="20"/>
              </w:rPr>
              <w:t>（グリーンボンド・</w:t>
            </w:r>
            <w:r w:rsidR="00A46AE2">
              <w:rPr>
                <w:rFonts w:ascii="Arial" w:eastAsia="ＭＳ Ｐゴシック" w:hAnsi="Arial" w:cs="Arial" w:hint="eastAsia"/>
                <w:sz w:val="20"/>
              </w:rPr>
              <w:t>5</w:t>
            </w:r>
            <w:r>
              <w:rPr>
                <w:rFonts w:ascii="Arial" w:eastAsia="ＭＳ Ｐゴシック" w:hAnsi="Arial" w:cs="Arial" w:hint="eastAsia"/>
                <w:sz w:val="20"/>
              </w:rPr>
              <w:t>年）</w:t>
            </w:r>
          </w:p>
          <w:p w14:paraId="4E53ABA2" w14:textId="64884B34" w:rsidR="00B05157" w:rsidRPr="00A46AE2" w:rsidRDefault="00A46AE2" w:rsidP="00FC4F51">
            <w:pPr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兵庫県令和</w:t>
            </w:r>
            <w:r w:rsidR="002C0CCD">
              <w:rPr>
                <w:rFonts w:ascii="Arial" w:eastAsia="ＭＳ Ｐゴシック" w:hAnsi="Arial" w:cs="Arial" w:hint="eastAsia"/>
                <w:sz w:val="20"/>
              </w:rPr>
              <w:t>6</w:t>
            </w:r>
            <w:r>
              <w:rPr>
                <w:rFonts w:ascii="Arial" w:eastAsia="ＭＳ Ｐゴシック" w:hAnsi="Arial" w:cs="Arial" w:hint="eastAsia"/>
                <w:sz w:val="20"/>
              </w:rPr>
              <w:t>年度第</w:t>
            </w:r>
            <w:r w:rsidR="00C159D6">
              <w:rPr>
                <w:rFonts w:ascii="Arial" w:eastAsia="ＭＳ Ｐゴシック" w:hAnsi="Arial" w:cs="Arial" w:hint="eastAsia"/>
                <w:sz w:val="20"/>
              </w:rPr>
              <w:t>4</w:t>
            </w:r>
            <w:r>
              <w:rPr>
                <w:rFonts w:ascii="Arial" w:eastAsia="ＭＳ Ｐゴシック" w:hAnsi="Arial" w:cs="Arial" w:hint="eastAsia"/>
                <w:sz w:val="20"/>
              </w:rPr>
              <w:t>回公募公債（グリーンボンド・</w:t>
            </w:r>
            <w:r>
              <w:rPr>
                <w:rFonts w:ascii="Arial" w:eastAsia="ＭＳ Ｐゴシック" w:hAnsi="Arial" w:cs="Arial" w:hint="eastAsia"/>
                <w:sz w:val="20"/>
              </w:rPr>
              <w:t>10</w:t>
            </w:r>
            <w:r>
              <w:rPr>
                <w:rFonts w:ascii="Arial" w:eastAsia="ＭＳ Ｐゴシック" w:hAnsi="Arial" w:cs="Arial" w:hint="eastAsia"/>
                <w:sz w:val="20"/>
              </w:rPr>
              <w:t>年）</w:t>
            </w:r>
          </w:p>
        </w:tc>
      </w:tr>
      <w:tr w:rsidR="007F7177" w:rsidRPr="00953440" w14:paraId="246CC9B1" w14:textId="77777777" w:rsidTr="00B0186C">
        <w:trPr>
          <w:trHeight w:val="340"/>
        </w:trPr>
        <w:tc>
          <w:tcPr>
            <w:tcW w:w="1588" w:type="dxa"/>
            <w:shd w:val="clear" w:color="auto" w:fill="EAF1DD" w:themeFill="accent3" w:themeFillTint="33"/>
          </w:tcPr>
          <w:p w14:paraId="576AB768" w14:textId="77777777" w:rsidR="007F7177" w:rsidRPr="00953440" w:rsidRDefault="007F7177" w:rsidP="00FC4F51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7F7177">
              <w:rPr>
                <w:rFonts w:ascii="Arial" w:eastAsia="ＭＳ Ｐゴシック" w:hAnsi="Arial" w:cs="Arial" w:hint="eastAsia"/>
                <w:spacing w:val="115"/>
                <w:kern w:val="0"/>
                <w:sz w:val="20"/>
                <w:fitText w:val="630" w:id="-1489164031"/>
              </w:rPr>
              <w:t>年</w:t>
            </w:r>
            <w:r w:rsidRPr="007F7177">
              <w:rPr>
                <w:rFonts w:ascii="Arial" w:eastAsia="ＭＳ Ｐゴシック" w:hAnsi="Arial" w:cs="Arial" w:hint="eastAsia"/>
                <w:kern w:val="0"/>
                <w:sz w:val="20"/>
                <w:fitText w:val="630" w:id="-1489164031"/>
              </w:rPr>
              <w:t>限</w:t>
            </w:r>
          </w:p>
        </w:tc>
        <w:tc>
          <w:tcPr>
            <w:tcW w:w="7371" w:type="dxa"/>
          </w:tcPr>
          <w:p w14:paraId="340AFBDB" w14:textId="0B65D0F3" w:rsidR="007F7177" w:rsidRPr="00953440" w:rsidRDefault="00A46AE2" w:rsidP="00FC4F51">
            <w:pPr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5</w:t>
            </w:r>
            <w:r w:rsidR="007F7177" w:rsidRPr="00953440">
              <w:rPr>
                <w:rFonts w:ascii="Arial" w:eastAsia="ＭＳ Ｐゴシック" w:hAnsi="Arial" w:cs="Arial"/>
                <w:sz w:val="20"/>
              </w:rPr>
              <w:t>年</w:t>
            </w:r>
            <w:r w:rsidR="004173CF">
              <w:rPr>
                <w:rFonts w:ascii="Arial" w:eastAsia="ＭＳ Ｐゴシック" w:hAnsi="Arial" w:cs="Arial" w:hint="eastAsia"/>
                <w:sz w:val="20"/>
              </w:rPr>
              <w:t>・</w:t>
            </w:r>
            <w:r>
              <w:rPr>
                <w:rFonts w:ascii="Arial" w:eastAsia="ＭＳ Ｐゴシック" w:hAnsi="Arial" w:cs="Arial" w:hint="eastAsia"/>
                <w:sz w:val="20"/>
              </w:rPr>
              <w:t>1</w:t>
            </w:r>
            <w:r w:rsidR="004173CF">
              <w:rPr>
                <w:rFonts w:ascii="Arial" w:eastAsia="ＭＳ Ｐゴシック" w:hAnsi="Arial" w:cs="Arial" w:hint="eastAsia"/>
                <w:sz w:val="20"/>
              </w:rPr>
              <w:t>0</w:t>
            </w:r>
            <w:r w:rsidR="004173CF">
              <w:rPr>
                <w:rFonts w:ascii="Arial" w:eastAsia="ＭＳ Ｐゴシック" w:hAnsi="Arial" w:cs="Arial" w:hint="eastAsia"/>
                <w:sz w:val="20"/>
              </w:rPr>
              <w:t>年</w:t>
            </w:r>
          </w:p>
        </w:tc>
      </w:tr>
      <w:tr w:rsidR="007F7177" w:rsidRPr="00953440" w14:paraId="01855288" w14:textId="77777777" w:rsidTr="00B0186C">
        <w:trPr>
          <w:trHeight w:val="340"/>
        </w:trPr>
        <w:tc>
          <w:tcPr>
            <w:tcW w:w="1588" w:type="dxa"/>
            <w:shd w:val="clear" w:color="auto" w:fill="EAF1DD" w:themeFill="accent3" w:themeFillTint="33"/>
          </w:tcPr>
          <w:p w14:paraId="7C824990" w14:textId="77777777" w:rsidR="007F7177" w:rsidRPr="00953440" w:rsidRDefault="007F7177" w:rsidP="00FC4F51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213100">
              <w:rPr>
                <w:rFonts w:ascii="Arial" w:eastAsia="ＭＳ Ｐゴシック" w:hAnsi="Arial" w:cs="Arial" w:hint="eastAsia"/>
                <w:spacing w:val="15"/>
                <w:kern w:val="0"/>
                <w:sz w:val="20"/>
              </w:rPr>
              <w:t>発行</w:t>
            </w:r>
            <w:r w:rsidRPr="00213100">
              <w:rPr>
                <w:rFonts w:ascii="Arial" w:eastAsia="ＭＳ Ｐゴシック" w:hAnsi="Arial" w:cs="Arial" w:hint="eastAsia"/>
                <w:spacing w:val="-15"/>
                <w:kern w:val="0"/>
                <w:sz w:val="20"/>
              </w:rPr>
              <w:t>額</w:t>
            </w:r>
          </w:p>
        </w:tc>
        <w:tc>
          <w:tcPr>
            <w:tcW w:w="7371" w:type="dxa"/>
          </w:tcPr>
          <w:p w14:paraId="2D4D1758" w14:textId="7CE7FA4B" w:rsidR="007F7177" w:rsidRPr="00953440" w:rsidRDefault="006064E1" w:rsidP="00FC4F51">
            <w:pPr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総額</w:t>
            </w:r>
            <w:r>
              <w:rPr>
                <w:rFonts w:ascii="Arial" w:eastAsia="ＭＳ Ｐゴシック" w:hAnsi="Arial" w:cs="Arial" w:hint="eastAsia"/>
                <w:sz w:val="20"/>
              </w:rPr>
              <w:t>200</w:t>
            </w:r>
            <w:r>
              <w:rPr>
                <w:rFonts w:ascii="Arial" w:eastAsia="ＭＳ Ｐゴシック" w:hAnsi="Arial" w:cs="Arial" w:hint="eastAsia"/>
                <w:sz w:val="20"/>
              </w:rPr>
              <w:t>億円（</w:t>
            </w:r>
            <w:r w:rsidR="00A46AE2">
              <w:rPr>
                <w:rFonts w:ascii="Arial" w:eastAsia="ＭＳ Ｐゴシック" w:hAnsi="Arial" w:cs="Arial" w:hint="eastAsia"/>
                <w:sz w:val="20"/>
              </w:rPr>
              <w:t>5</w:t>
            </w:r>
            <w:r>
              <w:rPr>
                <w:rFonts w:ascii="Arial" w:eastAsia="ＭＳ Ｐゴシック" w:hAnsi="Arial" w:cs="Arial" w:hint="eastAsia"/>
                <w:sz w:val="20"/>
              </w:rPr>
              <w:t>年債</w:t>
            </w:r>
            <w:r>
              <w:rPr>
                <w:rFonts w:ascii="Arial" w:eastAsia="ＭＳ Ｐゴシック" w:hAnsi="Arial" w:cs="Arial" w:hint="eastAsia"/>
                <w:sz w:val="20"/>
              </w:rPr>
              <w:t>100</w:t>
            </w:r>
            <w:r>
              <w:rPr>
                <w:rFonts w:ascii="Arial" w:eastAsia="ＭＳ Ｐゴシック" w:hAnsi="Arial" w:cs="Arial" w:hint="eastAsia"/>
                <w:sz w:val="20"/>
              </w:rPr>
              <w:t>億円、</w:t>
            </w:r>
            <w:r w:rsidR="00A46AE2">
              <w:rPr>
                <w:rFonts w:ascii="Arial" w:eastAsia="ＭＳ Ｐゴシック" w:hAnsi="Arial" w:cs="Arial" w:hint="eastAsia"/>
                <w:sz w:val="20"/>
              </w:rPr>
              <w:t>1</w:t>
            </w:r>
            <w:r>
              <w:rPr>
                <w:rFonts w:ascii="Arial" w:eastAsia="ＭＳ Ｐゴシック" w:hAnsi="Arial" w:cs="Arial" w:hint="eastAsia"/>
                <w:sz w:val="20"/>
              </w:rPr>
              <w:t>0</w:t>
            </w:r>
            <w:r>
              <w:rPr>
                <w:rFonts w:ascii="Arial" w:eastAsia="ＭＳ Ｐゴシック" w:hAnsi="Arial" w:cs="Arial" w:hint="eastAsia"/>
                <w:sz w:val="20"/>
              </w:rPr>
              <w:t>年債</w:t>
            </w:r>
            <w:r w:rsidR="007F7177">
              <w:rPr>
                <w:rFonts w:ascii="Arial" w:eastAsia="ＭＳ Ｐゴシック" w:hAnsi="Arial" w:cs="Arial" w:hint="eastAsia"/>
                <w:sz w:val="20"/>
              </w:rPr>
              <w:t>100</w:t>
            </w:r>
            <w:r w:rsidR="007F7177" w:rsidRPr="00953440">
              <w:rPr>
                <w:rFonts w:ascii="Arial" w:eastAsia="ＭＳ Ｐゴシック" w:hAnsi="Arial" w:cs="Arial"/>
                <w:sz w:val="20"/>
              </w:rPr>
              <w:t>億円</w:t>
            </w:r>
            <w:r>
              <w:rPr>
                <w:rFonts w:ascii="Arial" w:eastAsia="ＭＳ Ｐゴシック" w:hAnsi="Arial" w:cs="Arial" w:hint="eastAsia"/>
                <w:sz w:val="20"/>
              </w:rPr>
              <w:t>）</w:t>
            </w:r>
          </w:p>
        </w:tc>
      </w:tr>
      <w:tr w:rsidR="007F7177" w:rsidRPr="00953440" w14:paraId="3A6A85C8" w14:textId="77777777" w:rsidTr="00B0186C">
        <w:trPr>
          <w:trHeight w:val="340"/>
        </w:trPr>
        <w:tc>
          <w:tcPr>
            <w:tcW w:w="1588" w:type="dxa"/>
            <w:shd w:val="clear" w:color="auto" w:fill="EAF1DD" w:themeFill="accent3" w:themeFillTint="33"/>
          </w:tcPr>
          <w:p w14:paraId="72BBCA6C" w14:textId="77777777" w:rsidR="007F7177" w:rsidRPr="00953440" w:rsidRDefault="007F7177" w:rsidP="00FC4F51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213100">
              <w:rPr>
                <w:rFonts w:ascii="Arial" w:eastAsia="ＭＳ Ｐゴシック" w:hAnsi="Arial" w:cs="Arial" w:hint="eastAsia"/>
                <w:spacing w:val="15"/>
                <w:kern w:val="0"/>
                <w:sz w:val="20"/>
              </w:rPr>
              <w:t>発行</w:t>
            </w:r>
            <w:r w:rsidRPr="00213100">
              <w:rPr>
                <w:rFonts w:ascii="Arial" w:eastAsia="ＭＳ Ｐゴシック" w:hAnsi="Arial" w:cs="Arial" w:hint="eastAsia"/>
                <w:spacing w:val="-15"/>
                <w:kern w:val="0"/>
                <w:sz w:val="20"/>
              </w:rPr>
              <w:t>日</w:t>
            </w:r>
          </w:p>
        </w:tc>
        <w:tc>
          <w:tcPr>
            <w:tcW w:w="7371" w:type="dxa"/>
          </w:tcPr>
          <w:p w14:paraId="29519915" w14:textId="7C108F4D" w:rsidR="007F7177" w:rsidRPr="00953440" w:rsidRDefault="007F7177" w:rsidP="00FC4F51">
            <w:pPr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202</w:t>
            </w:r>
            <w:r w:rsidR="002C0CCD">
              <w:rPr>
                <w:rFonts w:ascii="Arial" w:eastAsia="ＭＳ Ｐゴシック" w:hAnsi="Arial" w:cs="Arial" w:hint="eastAsia"/>
                <w:sz w:val="20"/>
              </w:rPr>
              <w:t>4</w:t>
            </w:r>
            <w:r w:rsidRPr="00953440">
              <w:rPr>
                <w:rFonts w:ascii="Arial" w:eastAsia="ＭＳ Ｐゴシック" w:hAnsi="Arial" w:cs="Arial" w:hint="eastAsia"/>
                <w:sz w:val="20"/>
              </w:rPr>
              <w:t>年</w:t>
            </w:r>
            <w:r w:rsidR="002C0CCD">
              <w:rPr>
                <w:rFonts w:ascii="Arial" w:eastAsia="ＭＳ Ｐゴシック" w:hAnsi="Arial" w:cs="Arial" w:hint="eastAsia"/>
                <w:sz w:val="20"/>
              </w:rPr>
              <w:t>7</w:t>
            </w:r>
            <w:r w:rsidRPr="00953440">
              <w:rPr>
                <w:rFonts w:ascii="Arial" w:eastAsia="ＭＳ Ｐゴシック" w:hAnsi="Arial" w:cs="Arial" w:hint="eastAsia"/>
                <w:sz w:val="20"/>
              </w:rPr>
              <w:t>月</w:t>
            </w:r>
            <w:r w:rsidR="002C0CCD">
              <w:rPr>
                <w:rFonts w:ascii="Arial" w:eastAsia="ＭＳ Ｐゴシック" w:hAnsi="Arial" w:cs="Arial" w:hint="eastAsia"/>
                <w:sz w:val="20"/>
              </w:rPr>
              <w:t>17</w:t>
            </w:r>
            <w:r w:rsidRPr="00953440">
              <w:rPr>
                <w:rFonts w:ascii="Arial" w:eastAsia="ＭＳ Ｐゴシック" w:hAnsi="Arial" w:cs="Arial" w:hint="eastAsia"/>
                <w:sz w:val="20"/>
              </w:rPr>
              <w:t>日</w:t>
            </w:r>
          </w:p>
        </w:tc>
      </w:tr>
    </w:tbl>
    <w:p w14:paraId="4200F7CB" w14:textId="029971A7" w:rsidR="00375027" w:rsidRDefault="00375027" w:rsidP="00B0186C">
      <w:pPr>
        <w:spacing w:line="240" w:lineRule="exact"/>
        <w:ind w:leftChars="67" w:left="142" w:hanging="1"/>
        <w:rPr>
          <w:rFonts w:ascii="Arial" w:eastAsia="ＭＳ Ｐゴシック" w:hAnsi="Arial" w:cs="Arial"/>
          <w:sz w:val="16"/>
          <w:szCs w:val="16"/>
        </w:rPr>
      </w:pPr>
      <w:r w:rsidRPr="00B0186C">
        <w:rPr>
          <w:sz w:val="16"/>
          <w:szCs w:val="16"/>
        </w:rPr>
        <w:t>*SDGs</w:t>
      </w:r>
      <w:r w:rsidR="000F18E3">
        <w:rPr>
          <w:rFonts w:hint="eastAsia"/>
          <w:sz w:val="16"/>
          <w:szCs w:val="16"/>
        </w:rPr>
        <w:t>とは</w:t>
      </w:r>
      <w:r w:rsidR="00846B0A" w:rsidRPr="00B0186C">
        <w:rPr>
          <w:rFonts w:hint="eastAsia"/>
          <w:sz w:val="16"/>
          <w:szCs w:val="16"/>
        </w:rPr>
        <w:t>「</w:t>
      </w:r>
      <w:r w:rsidRPr="00B0186C">
        <w:rPr>
          <w:sz w:val="16"/>
          <w:szCs w:val="16"/>
        </w:rPr>
        <w:t>Sustainable Development Goals</w:t>
      </w:r>
      <w:r w:rsidR="00846B0A" w:rsidRPr="00B0186C">
        <w:rPr>
          <w:rFonts w:hint="eastAsia"/>
          <w:sz w:val="16"/>
          <w:szCs w:val="16"/>
        </w:rPr>
        <w:t>（持続可能な開発目標）」の略称。</w:t>
      </w:r>
      <w:r w:rsidRPr="00846B0A">
        <w:rPr>
          <w:rFonts w:ascii="Arial" w:eastAsia="ＭＳ Ｐゴシック" w:hAnsi="Arial" w:cs="Arial"/>
          <w:sz w:val="16"/>
          <w:szCs w:val="16"/>
        </w:rPr>
        <w:t>2015</w:t>
      </w:r>
      <w:r w:rsidRPr="00846B0A">
        <w:rPr>
          <w:rFonts w:ascii="Arial" w:eastAsia="ＭＳ Ｐゴシック" w:hAnsi="Arial" w:cs="Arial" w:hint="eastAsia"/>
          <w:sz w:val="16"/>
          <w:szCs w:val="16"/>
        </w:rPr>
        <w:t>年</w:t>
      </w:r>
      <w:r w:rsidRPr="00846B0A">
        <w:rPr>
          <w:rFonts w:ascii="Arial" w:eastAsia="ＭＳ Ｐゴシック" w:hAnsi="Arial" w:cs="Arial"/>
          <w:sz w:val="16"/>
          <w:szCs w:val="16"/>
        </w:rPr>
        <w:t>9</w:t>
      </w:r>
      <w:r w:rsidRPr="00846B0A">
        <w:rPr>
          <w:rFonts w:ascii="Arial" w:eastAsia="ＭＳ Ｐゴシック" w:hAnsi="Arial" w:cs="Arial" w:hint="eastAsia"/>
          <w:sz w:val="16"/>
          <w:szCs w:val="16"/>
        </w:rPr>
        <w:t>月の国連持続可能な開発サミットにて採択された「持続可能な開発のための</w:t>
      </w:r>
      <w:r w:rsidRPr="00846B0A">
        <w:rPr>
          <w:rFonts w:ascii="Arial" w:eastAsia="ＭＳ Ｐゴシック" w:hAnsi="Arial" w:cs="Arial"/>
          <w:sz w:val="16"/>
          <w:szCs w:val="16"/>
        </w:rPr>
        <w:t>2030</w:t>
      </w:r>
      <w:r w:rsidRPr="00846B0A">
        <w:rPr>
          <w:rFonts w:ascii="Arial" w:eastAsia="ＭＳ Ｐゴシック" w:hAnsi="Arial" w:cs="Arial" w:hint="eastAsia"/>
          <w:sz w:val="16"/>
          <w:szCs w:val="16"/>
        </w:rPr>
        <w:t>アジェンダ」が掲げる、加盟各国が</w:t>
      </w:r>
      <w:r w:rsidRPr="00846B0A">
        <w:rPr>
          <w:rFonts w:ascii="Arial" w:eastAsia="ＭＳ Ｐゴシック" w:hAnsi="Arial" w:cs="Arial"/>
          <w:sz w:val="16"/>
          <w:szCs w:val="16"/>
        </w:rPr>
        <w:t>2030</w:t>
      </w:r>
      <w:r w:rsidRPr="00846B0A">
        <w:rPr>
          <w:rFonts w:ascii="Arial" w:eastAsia="ＭＳ Ｐゴシック" w:hAnsi="Arial" w:cs="Arial" w:hint="eastAsia"/>
          <w:sz w:val="16"/>
          <w:szCs w:val="16"/>
        </w:rPr>
        <w:t>年までに</w:t>
      </w:r>
      <w:r w:rsidR="00846B0A" w:rsidRPr="00846B0A">
        <w:rPr>
          <w:rFonts w:ascii="Arial" w:eastAsia="ＭＳ Ｐゴシック" w:hAnsi="Arial" w:cs="Arial" w:hint="eastAsia"/>
          <w:sz w:val="16"/>
          <w:szCs w:val="16"/>
        </w:rPr>
        <w:t>持続可能でより良い世界を目指す国際目標。</w:t>
      </w:r>
      <w:r w:rsidRPr="00846B0A">
        <w:rPr>
          <w:rFonts w:ascii="Arial" w:eastAsia="ＭＳ Ｐゴシック" w:hAnsi="Arial" w:cs="Arial" w:hint="eastAsia"/>
          <w:sz w:val="16"/>
          <w:szCs w:val="16"/>
        </w:rPr>
        <w:t>達成すべき</w:t>
      </w:r>
      <w:r w:rsidRPr="00846B0A">
        <w:rPr>
          <w:rFonts w:ascii="Arial" w:eastAsia="ＭＳ Ｐゴシック" w:hAnsi="Arial" w:cs="Arial"/>
          <w:sz w:val="16"/>
          <w:szCs w:val="16"/>
        </w:rPr>
        <w:t>17</w:t>
      </w:r>
      <w:r w:rsidRPr="00846B0A">
        <w:rPr>
          <w:rFonts w:ascii="Arial" w:eastAsia="ＭＳ Ｐゴシック" w:hAnsi="Arial" w:cs="Arial" w:hint="eastAsia"/>
          <w:sz w:val="16"/>
          <w:szCs w:val="16"/>
        </w:rPr>
        <w:t>の目標と</w:t>
      </w:r>
      <w:r w:rsidRPr="00846B0A">
        <w:rPr>
          <w:rFonts w:ascii="Arial" w:eastAsia="ＭＳ Ｐゴシック" w:hAnsi="Arial" w:cs="Arial"/>
          <w:sz w:val="16"/>
          <w:szCs w:val="16"/>
        </w:rPr>
        <w:t>169</w:t>
      </w:r>
      <w:r w:rsidRPr="00846B0A">
        <w:rPr>
          <w:rFonts w:ascii="Arial" w:eastAsia="ＭＳ Ｐゴシック" w:hAnsi="Arial" w:cs="Arial" w:hint="eastAsia"/>
          <w:sz w:val="16"/>
          <w:szCs w:val="16"/>
        </w:rPr>
        <w:t>のターゲット</w:t>
      </w:r>
      <w:r w:rsidR="00846B0A" w:rsidRPr="00846B0A">
        <w:rPr>
          <w:rFonts w:ascii="Arial" w:eastAsia="ＭＳ Ｐゴシック" w:hAnsi="Arial" w:cs="Arial" w:hint="eastAsia"/>
          <w:sz w:val="16"/>
          <w:szCs w:val="16"/>
        </w:rPr>
        <w:t>で構成され、地球上の「誰一人取り残さない」ことを誓っています</w:t>
      </w:r>
    </w:p>
    <w:p w14:paraId="2AEDF312" w14:textId="77777777" w:rsidR="00B21396" w:rsidRPr="00B0186C" w:rsidRDefault="00B21396" w:rsidP="00ED0190">
      <w:pPr>
        <w:jc w:val="right"/>
        <w:rPr>
          <w:sz w:val="20"/>
          <w:szCs w:val="20"/>
        </w:rPr>
      </w:pPr>
      <w:r w:rsidRPr="00B0186C">
        <w:rPr>
          <w:rFonts w:hint="eastAsia"/>
          <w:sz w:val="20"/>
          <w:szCs w:val="20"/>
        </w:rPr>
        <w:t>以上</w:t>
      </w:r>
    </w:p>
    <w:sectPr w:rsidR="00B21396" w:rsidRPr="00B0186C" w:rsidSect="00D23F00">
      <w:pgSz w:w="11906" w:h="16838"/>
      <w:pgMar w:top="1701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2FD6C" w14:textId="77777777" w:rsidR="00E524DD" w:rsidRDefault="00E524DD" w:rsidP="00B556C9">
      <w:r>
        <w:separator/>
      </w:r>
    </w:p>
  </w:endnote>
  <w:endnote w:type="continuationSeparator" w:id="0">
    <w:p w14:paraId="20EDEFCB" w14:textId="77777777" w:rsidR="00E524DD" w:rsidRDefault="00E524DD" w:rsidP="00B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36A9C" w14:textId="77777777" w:rsidR="00E524DD" w:rsidRDefault="00E524DD" w:rsidP="00B556C9">
      <w:r>
        <w:separator/>
      </w:r>
    </w:p>
  </w:footnote>
  <w:footnote w:type="continuationSeparator" w:id="0">
    <w:p w14:paraId="14065ADA" w14:textId="77777777" w:rsidR="00E524DD" w:rsidRDefault="00E524DD" w:rsidP="00B5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B1C"/>
    <w:multiLevelType w:val="hybridMultilevel"/>
    <w:tmpl w:val="725002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A6F62"/>
    <w:multiLevelType w:val="hybridMultilevel"/>
    <w:tmpl w:val="C05648F2"/>
    <w:lvl w:ilvl="0" w:tplc="F6BAEF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236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05C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82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439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A5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228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843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6D7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410"/>
    <w:multiLevelType w:val="hybridMultilevel"/>
    <w:tmpl w:val="17D49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8863FC"/>
    <w:multiLevelType w:val="hybridMultilevel"/>
    <w:tmpl w:val="C2466FF8"/>
    <w:lvl w:ilvl="0" w:tplc="B5A2B85C">
      <w:numFmt w:val="bullet"/>
      <w:lvlText w:val=""/>
      <w:lvlJc w:val="left"/>
      <w:pPr>
        <w:ind w:left="420" w:hanging="420"/>
      </w:pPr>
      <w:rPr>
        <w:rFonts w:ascii="Wingdings" w:eastAsia="ＭＳ ゴシック" w:hAnsi="Wingdings" w:cs="Times New Roman" w:hint="default"/>
      </w:rPr>
    </w:lvl>
    <w:lvl w:ilvl="1" w:tplc="D3085A62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D710E"/>
    <w:multiLevelType w:val="hybridMultilevel"/>
    <w:tmpl w:val="067AC116"/>
    <w:lvl w:ilvl="0" w:tplc="B5A2B85C">
      <w:numFmt w:val="bullet"/>
      <w:lvlText w:val=""/>
      <w:lvlJc w:val="left"/>
      <w:pPr>
        <w:ind w:left="420" w:hanging="420"/>
      </w:pPr>
      <w:rPr>
        <w:rFonts w:ascii="Wingdings" w:eastAsia="ＭＳ ゴシック" w:hAnsi="Wingdings" w:cs="Times New Roman" w:hint="default"/>
      </w:rPr>
    </w:lvl>
    <w:lvl w:ilvl="1" w:tplc="B5A2B85C">
      <w:numFmt w:val="bullet"/>
      <w:lvlText w:val=""/>
      <w:lvlJc w:val="left"/>
      <w:pPr>
        <w:ind w:left="780" w:hanging="360"/>
      </w:pPr>
      <w:rPr>
        <w:rFonts w:ascii="Wingdings" w:eastAsia="ＭＳ ゴシック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E431D3"/>
    <w:multiLevelType w:val="hybridMultilevel"/>
    <w:tmpl w:val="5A96BAEE"/>
    <w:lvl w:ilvl="0" w:tplc="AD7871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863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C94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8B4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EB4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67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E6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6BF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4B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35B64"/>
    <w:multiLevelType w:val="hybridMultilevel"/>
    <w:tmpl w:val="C352D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B7A5A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D0B53"/>
    <w:multiLevelType w:val="hybridMultilevel"/>
    <w:tmpl w:val="487889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E1174E"/>
    <w:multiLevelType w:val="hybridMultilevel"/>
    <w:tmpl w:val="9E00E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56"/>
    <w:rsid w:val="00004878"/>
    <w:rsid w:val="00020FF6"/>
    <w:rsid w:val="00035FE3"/>
    <w:rsid w:val="00043EEA"/>
    <w:rsid w:val="00066A92"/>
    <w:rsid w:val="00072BBB"/>
    <w:rsid w:val="00073A2A"/>
    <w:rsid w:val="000C45FB"/>
    <w:rsid w:val="000D05CE"/>
    <w:rsid w:val="000E33B2"/>
    <w:rsid w:val="000F18E3"/>
    <w:rsid w:val="000F5BB2"/>
    <w:rsid w:val="000F7560"/>
    <w:rsid w:val="001224EF"/>
    <w:rsid w:val="00123D56"/>
    <w:rsid w:val="00143F14"/>
    <w:rsid w:val="00146B9B"/>
    <w:rsid w:val="00170A0D"/>
    <w:rsid w:val="001973F1"/>
    <w:rsid w:val="001A64EF"/>
    <w:rsid w:val="001B2BE1"/>
    <w:rsid w:val="001B6B3F"/>
    <w:rsid w:val="001C5FDE"/>
    <w:rsid w:val="001D0AB6"/>
    <w:rsid w:val="00201A37"/>
    <w:rsid w:val="00220F5A"/>
    <w:rsid w:val="00224D11"/>
    <w:rsid w:val="002374DF"/>
    <w:rsid w:val="00255884"/>
    <w:rsid w:val="00277254"/>
    <w:rsid w:val="002843E3"/>
    <w:rsid w:val="002867B2"/>
    <w:rsid w:val="00294519"/>
    <w:rsid w:val="00296CC5"/>
    <w:rsid w:val="00296EBE"/>
    <w:rsid w:val="002A5405"/>
    <w:rsid w:val="002C0CCD"/>
    <w:rsid w:val="002C7D00"/>
    <w:rsid w:val="002E5E40"/>
    <w:rsid w:val="002F6753"/>
    <w:rsid w:val="003130B0"/>
    <w:rsid w:val="003240F7"/>
    <w:rsid w:val="00342B1A"/>
    <w:rsid w:val="003452CE"/>
    <w:rsid w:val="00352A88"/>
    <w:rsid w:val="00370F2F"/>
    <w:rsid w:val="00375027"/>
    <w:rsid w:val="0039124E"/>
    <w:rsid w:val="003A7DB3"/>
    <w:rsid w:val="003B378A"/>
    <w:rsid w:val="003F2E69"/>
    <w:rsid w:val="004034AA"/>
    <w:rsid w:val="00407FB3"/>
    <w:rsid w:val="004173CF"/>
    <w:rsid w:val="00434F83"/>
    <w:rsid w:val="00440AB8"/>
    <w:rsid w:val="004458F2"/>
    <w:rsid w:val="004516D9"/>
    <w:rsid w:val="004532F3"/>
    <w:rsid w:val="00457B58"/>
    <w:rsid w:val="00481116"/>
    <w:rsid w:val="0048148D"/>
    <w:rsid w:val="0049253A"/>
    <w:rsid w:val="004B2795"/>
    <w:rsid w:val="004B30AF"/>
    <w:rsid w:val="004D319E"/>
    <w:rsid w:val="004E22CC"/>
    <w:rsid w:val="00502020"/>
    <w:rsid w:val="00512663"/>
    <w:rsid w:val="00520D0A"/>
    <w:rsid w:val="005403ED"/>
    <w:rsid w:val="00543114"/>
    <w:rsid w:val="0057542C"/>
    <w:rsid w:val="00581AA4"/>
    <w:rsid w:val="005A2AF9"/>
    <w:rsid w:val="005C73AE"/>
    <w:rsid w:val="006064E1"/>
    <w:rsid w:val="00634BE8"/>
    <w:rsid w:val="00636D9A"/>
    <w:rsid w:val="00647780"/>
    <w:rsid w:val="00667D85"/>
    <w:rsid w:val="006B39EE"/>
    <w:rsid w:val="006C4FB3"/>
    <w:rsid w:val="006D1A9C"/>
    <w:rsid w:val="006F130E"/>
    <w:rsid w:val="006F2247"/>
    <w:rsid w:val="00721DCB"/>
    <w:rsid w:val="00736B7B"/>
    <w:rsid w:val="00777877"/>
    <w:rsid w:val="00797AA8"/>
    <w:rsid w:val="007B5C47"/>
    <w:rsid w:val="007B7CFF"/>
    <w:rsid w:val="007E5152"/>
    <w:rsid w:val="007E61FA"/>
    <w:rsid w:val="007F7177"/>
    <w:rsid w:val="00803ECF"/>
    <w:rsid w:val="008061DD"/>
    <w:rsid w:val="00812399"/>
    <w:rsid w:val="00827005"/>
    <w:rsid w:val="00837445"/>
    <w:rsid w:val="00842509"/>
    <w:rsid w:val="00845F20"/>
    <w:rsid w:val="00846B0A"/>
    <w:rsid w:val="0084741B"/>
    <w:rsid w:val="00850547"/>
    <w:rsid w:val="0086253F"/>
    <w:rsid w:val="00871E27"/>
    <w:rsid w:val="00880F8D"/>
    <w:rsid w:val="00881172"/>
    <w:rsid w:val="0088770F"/>
    <w:rsid w:val="0089183D"/>
    <w:rsid w:val="008942CA"/>
    <w:rsid w:val="008A361B"/>
    <w:rsid w:val="008D5513"/>
    <w:rsid w:val="008E22CE"/>
    <w:rsid w:val="0090553C"/>
    <w:rsid w:val="00907DCF"/>
    <w:rsid w:val="0092181C"/>
    <w:rsid w:val="0094369B"/>
    <w:rsid w:val="009509E3"/>
    <w:rsid w:val="0096224C"/>
    <w:rsid w:val="00994E29"/>
    <w:rsid w:val="009B4710"/>
    <w:rsid w:val="009B6A24"/>
    <w:rsid w:val="009C7861"/>
    <w:rsid w:val="009E1F1F"/>
    <w:rsid w:val="009E42FD"/>
    <w:rsid w:val="009E5107"/>
    <w:rsid w:val="009F3DB7"/>
    <w:rsid w:val="00A024A0"/>
    <w:rsid w:val="00A11839"/>
    <w:rsid w:val="00A23603"/>
    <w:rsid w:val="00A251A9"/>
    <w:rsid w:val="00A31819"/>
    <w:rsid w:val="00A32D7A"/>
    <w:rsid w:val="00A42D76"/>
    <w:rsid w:val="00A46AE2"/>
    <w:rsid w:val="00A6238D"/>
    <w:rsid w:val="00A71A65"/>
    <w:rsid w:val="00A72211"/>
    <w:rsid w:val="00A74EF3"/>
    <w:rsid w:val="00A84974"/>
    <w:rsid w:val="00A8544A"/>
    <w:rsid w:val="00AA0EA3"/>
    <w:rsid w:val="00AA245A"/>
    <w:rsid w:val="00AB0FD5"/>
    <w:rsid w:val="00AB7818"/>
    <w:rsid w:val="00AD5CED"/>
    <w:rsid w:val="00AF64F3"/>
    <w:rsid w:val="00B0186C"/>
    <w:rsid w:val="00B05157"/>
    <w:rsid w:val="00B11A08"/>
    <w:rsid w:val="00B21396"/>
    <w:rsid w:val="00B277FA"/>
    <w:rsid w:val="00B27A20"/>
    <w:rsid w:val="00B34298"/>
    <w:rsid w:val="00B52245"/>
    <w:rsid w:val="00B556C9"/>
    <w:rsid w:val="00B63DDD"/>
    <w:rsid w:val="00B71119"/>
    <w:rsid w:val="00B84818"/>
    <w:rsid w:val="00B87A85"/>
    <w:rsid w:val="00B973AC"/>
    <w:rsid w:val="00BB359F"/>
    <w:rsid w:val="00BB3906"/>
    <w:rsid w:val="00BC650B"/>
    <w:rsid w:val="00BC7DD9"/>
    <w:rsid w:val="00BE1A5A"/>
    <w:rsid w:val="00BE6C77"/>
    <w:rsid w:val="00BE7DFD"/>
    <w:rsid w:val="00C07398"/>
    <w:rsid w:val="00C1322F"/>
    <w:rsid w:val="00C159D6"/>
    <w:rsid w:val="00C432B3"/>
    <w:rsid w:val="00C437EE"/>
    <w:rsid w:val="00C43C51"/>
    <w:rsid w:val="00C56BB1"/>
    <w:rsid w:val="00C56D07"/>
    <w:rsid w:val="00C64A93"/>
    <w:rsid w:val="00C850A4"/>
    <w:rsid w:val="00C85601"/>
    <w:rsid w:val="00C93F8C"/>
    <w:rsid w:val="00CA48C0"/>
    <w:rsid w:val="00CB0D87"/>
    <w:rsid w:val="00CB6088"/>
    <w:rsid w:val="00CC31B2"/>
    <w:rsid w:val="00CF01B2"/>
    <w:rsid w:val="00CF488B"/>
    <w:rsid w:val="00D07D48"/>
    <w:rsid w:val="00D2014D"/>
    <w:rsid w:val="00D23F00"/>
    <w:rsid w:val="00D65902"/>
    <w:rsid w:val="00D7075A"/>
    <w:rsid w:val="00D71C4D"/>
    <w:rsid w:val="00DD4473"/>
    <w:rsid w:val="00DE1992"/>
    <w:rsid w:val="00E11FD9"/>
    <w:rsid w:val="00E2634D"/>
    <w:rsid w:val="00E276A2"/>
    <w:rsid w:val="00E3253D"/>
    <w:rsid w:val="00E51DFC"/>
    <w:rsid w:val="00E524DD"/>
    <w:rsid w:val="00E745E5"/>
    <w:rsid w:val="00E86713"/>
    <w:rsid w:val="00E9061D"/>
    <w:rsid w:val="00EB182D"/>
    <w:rsid w:val="00EB57CE"/>
    <w:rsid w:val="00ED0190"/>
    <w:rsid w:val="00ED49D0"/>
    <w:rsid w:val="00EF1511"/>
    <w:rsid w:val="00F05274"/>
    <w:rsid w:val="00F10936"/>
    <w:rsid w:val="00F12AF9"/>
    <w:rsid w:val="00F15EA8"/>
    <w:rsid w:val="00F3002B"/>
    <w:rsid w:val="00F46937"/>
    <w:rsid w:val="00FA4397"/>
    <w:rsid w:val="00FA6A58"/>
    <w:rsid w:val="00FB105F"/>
    <w:rsid w:val="00FC54EC"/>
    <w:rsid w:val="00FE458D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EC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E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B21396"/>
    <w:pPr>
      <w:jc w:val="right"/>
    </w:pPr>
  </w:style>
  <w:style w:type="character" w:customStyle="1" w:styleId="a4">
    <w:name w:val="結語 (文字)"/>
    <w:link w:val="a3"/>
    <w:uiPriority w:val="99"/>
    <w:semiHidden/>
    <w:rsid w:val="00B2139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B5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56C9"/>
    <w:rPr>
      <w:rFonts w:ascii="Times New Roman" w:hAnsi="Times New Roman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55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56C9"/>
    <w:rPr>
      <w:rFonts w:ascii="Times New Roman" w:hAnsi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5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5E4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37445"/>
    <w:rPr>
      <w:rFonts w:ascii="Times New Roman" w:hAnsi="Times New Roman"/>
      <w:kern w:val="2"/>
      <w:sz w:val="21"/>
      <w:szCs w:val="22"/>
    </w:rPr>
  </w:style>
  <w:style w:type="paragraph" w:styleId="ac">
    <w:name w:val="List Paragraph"/>
    <w:basedOn w:val="a"/>
    <w:link w:val="ad"/>
    <w:uiPriority w:val="34"/>
    <w:qFormat/>
    <w:rsid w:val="00073A2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1224EF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</w:rPr>
  </w:style>
  <w:style w:type="character" w:customStyle="1" w:styleId="af">
    <w:name w:val="引用文 (文字)"/>
    <w:basedOn w:val="a0"/>
    <w:link w:val="ae"/>
    <w:uiPriority w:val="29"/>
    <w:rsid w:val="001224EF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af0">
    <w:name w:val="Hyperlink"/>
    <w:basedOn w:val="a0"/>
    <w:uiPriority w:val="99"/>
    <w:unhideWhenUsed/>
    <w:rsid w:val="00BB359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F64F3"/>
    <w:rPr>
      <w:color w:val="800080" w:themeColor="followedHyperlink"/>
      <w:u w:val="single"/>
    </w:rPr>
  </w:style>
  <w:style w:type="character" w:customStyle="1" w:styleId="ad">
    <w:name w:val="リスト段落 (文字)"/>
    <w:basedOn w:val="a0"/>
    <w:link w:val="ac"/>
    <w:uiPriority w:val="34"/>
    <w:locked/>
    <w:rsid w:val="00201A37"/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2">
    <w:name w:val="表 (格子)2"/>
    <w:basedOn w:val="a1"/>
    <w:next w:val="af2"/>
    <w:rsid w:val="00201A37"/>
    <w:pPr>
      <w:spacing w:after="8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20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46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1656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6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0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617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2024-07-30T05:37:00Z</dcterms:created>
  <dcterms:modified xsi:type="dcterms:W3CDTF">2024-07-30T05:37:00Z</dcterms:modified>
</cp:coreProperties>
</file>